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07" w:type="dxa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1710"/>
        <w:gridCol w:w="1754"/>
        <w:gridCol w:w="1846"/>
        <w:gridCol w:w="2159"/>
        <w:gridCol w:w="1260"/>
        <w:gridCol w:w="1891"/>
      </w:tblGrid>
      <w:tr w:rsidR="00A14A6C" w:rsidRPr="00B14181" w:rsidTr="001D220A">
        <w:trPr>
          <w:cantSplit/>
          <w:trHeight w:val="567"/>
          <w:jc w:val="center"/>
        </w:trPr>
        <w:tc>
          <w:tcPr>
            <w:tcW w:w="387" w:type="dxa"/>
            <w:tcBorders>
              <w:top w:val="double" w:sz="4" w:space="0" w:color="auto"/>
            </w:tcBorders>
            <w:textDirection w:val="btLr"/>
            <w:vAlign w:val="center"/>
          </w:tcPr>
          <w:p w:rsidR="00A14A6C" w:rsidRPr="00B14181" w:rsidRDefault="00A14A6C" w:rsidP="00AA6A95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54" w:type="dxa"/>
            <w:tcBorders>
              <w:top w:val="double" w:sz="4" w:space="0" w:color="auto"/>
            </w:tcBorders>
            <w:vAlign w:val="center"/>
          </w:tcPr>
          <w:p w:rsidR="00A14A6C" w:rsidRPr="0057184E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نوع نمونه</w:t>
            </w:r>
          </w:p>
        </w:tc>
        <w:tc>
          <w:tcPr>
            <w:tcW w:w="1846" w:type="dxa"/>
            <w:tcBorders>
              <w:top w:val="double" w:sz="4" w:space="0" w:color="auto"/>
            </w:tcBorders>
            <w:vAlign w:val="center"/>
          </w:tcPr>
          <w:p w:rsidR="00A14A6C" w:rsidRPr="0057184E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حلال مورد استفاده</w:t>
            </w:r>
          </w:p>
        </w:tc>
        <w:tc>
          <w:tcPr>
            <w:tcW w:w="2159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حدود غلظت جزء یا  اجزاء نمونه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نقطه جوش نمونه</w:t>
            </w:r>
          </w:p>
        </w:tc>
        <w:tc>
          <w:tcPr>
            <w:tcW w:w="1891" w:type="dxa"/>
            <w:tcBorders>
              <w:top w:val="double" w:sz="4" w:space="0" w:color="auto"/>
            </w:tcBorders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A14A6C" w:rsidRPr="00B14181" w:rsidTr="001D220A">
        <w:trPr>
          <w:trHeight w:val="368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9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0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9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9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0"/>
          <w:jc w:val="center"/>
        </w:trPr>
        <w:tc>
          <w:tcPr>
            <w:tcW w:w="387" w:type="dxa"/>
            <w:vAlign w:val="center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14A6C" w:rsidRPr="00B14181" w:rsidTr="001D220A">
        <w:trPr>
          <w:trHeight w:val="420"/>
          <w:jc w:val="center"/>
        </w:trPr>
        <w:tc>
          <w:tcPr>
            <w:tcW w:w="387" w:type="dxa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710" w:type="dxa"/>
          </w:tcPr>
          <w:p w:rsidR="00A14A6C" w:rsidRPr="00B14181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54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46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59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260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91" w:type="dxa"/>
          </w:tcPr>
          <w:p w:rsidR="00A14A6C" w:rsidRPr="00B14181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</w:tbl>
    <w:tbl>
      <w:tblPr>
        <w:tblStyle w:val="TableGrid2"/>
        <w:bidiVisual/>
        <w:tblW w:w="11036" w:type="dxa"/>
        <w:jc w:val="center"/>
        <w:tblLayout w:type="fixed"/>
        <w:tblLook w:val="0000" w:firstRow="0" w:lastRow="0" w:firstColumn="0" w:lastColumn="0" w:noHBand="0" w:noVBand="0"/>
      </w:tblPr>
      <w:tblGrid>
        <w:gridCol w:w="14"/>
        <w:gridCol w:w="2098"/>
        <w:gridCol w:w="8924"/>
      </w:tblGrid>
      <w:tr w:rsidR="00A14A6C" w:rsidRPr="004B0642" w:rsidTr="00AA6A95">
        <w:trPr>
          <w:gridBefore w:val="1"/>
          <w:wBefore w:w="14" w:type="dxa"/>
          <w:trHeight w:val="416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14A6C" w:rsidRPr="004B0642" w:rsidRDefault="00A14A6C" w:rsidP="00AA6A95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924" w:type="dxa"/>
            <w:vAlign w:val="center"/>
          </w:tcPr>
          <w:p w:rsidR="00A14A6C" w:rsidRPr="004B0642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A14A6C" w:rsidRPr="004B0642" w:rsidTr="00AA6A95">
        <w:trPr>
          <w:gridBefore w:val="1"/>
          <w:wBefore w:w="14" w:type="dxa"/>
          <w:trHeight w:val="342"/>
          <w:jc w:val="center"/>
        </w:trPr>
        <w:tc>
          <w:tcPr>
            <w:tcW w:w="2098" w:type="dxa"/>
            <w:vMerge w:val="restart"/>
            <w:shd w:val="clear" w:color="auto" w:fill="F2F2F2" w:themeFill="background1" w:themeFillShade="F2"/>
            <w:vAlign w:val="center"/>
          </w:tcPr>
          <w:p w:rsidR="00A14A6C" w:rsidRPr="004B0642" w:rsidRDefault="00A14A6C" w:rsidP="00AA6A95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924" w:type="dxa"/>
            <w:vAlign w:val="center"/>
          </w:tcPr>
          <w:p w:rsidR="00A14A6C" w:rsidRPr="004B0642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A14A6C" w:rsidRPr="006C0AC5" w:rsidTr="00AA6A95">
        <w:trPr>
          <w:gridBefore w:val="1"/>
          <w:wBefore w:w="14" w:type="dxa"/>
          <w:trHeight w:val="666"/>
          <w:jc w:val="center"/>
        </w:trPr>
        <w:tc>
          <w:tcPr>
            <w:tcW w:w="2098" w:type="dxa"/>
            <w:vMerge/>
            <w:shd w:val="clear" w:color="auto" w:fill="F2F2F2" w:themeFill="background1" w:themeFillShade="F2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A14A6C" w:rsidRPr="006C0AC5" w:rsidRDefault="00A14A6C" w:rsidP="00AA6A95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A14A6C" w:rsidRPr="00965C9E" w:rsidTr="00AA6A95">
        <w:trPr>
          <w:gridBefore w:val="1"/>
          <w:wBefore w:w="14" w:type="dxa"/>
          <w:trHeight w:val="489"/>
          <w:jc w:val="center"/>
        </w:trPr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A14A6C" w:rsidRPr="000E2EB6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Pr="009A08BB" w:rsidRDefault="009A08BB" w:rsidP="009A08BB">
            <w:pPr>
              <w:bidi/>
              <w:jc w:val="center"/>
              <w:rPr>
                <w:rFonts w:asciiTheme="minorBidi" w:hAnsiTheme="minorBidi" w:cs="B Koodak"/>
                <w:b/>
                <w:bCs/>
                <w:rtl/>
                <w:lang w:bidi="fa-IR"/>
              </w:rPr>
            </w:pPr>
            <w:r w:rsidRPr="003D76CF">
              <w:rPr>
                <w:rFonts w:asciiTheme="minorBidi" w:hAnsiTheme="minorBidi" w:cs="B Koodak" w:hint="cs"/>
                <w:b/>
                <w:bCs/>
                <w:rtl/>
                <w:lang w:bidi="fa-IR"/>
              </w:rPr>
              <w:t>**توضیحات**</w:t>
            </w:r>
          </w:p>
          <w:p w:rsidR="00A14A6C" w:rsidRPr="000E2EB6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924" w:type="dxa"/>
            <w:vAlign w:val="center"/>
          </w:tcPr>
          <w:p w:rsidR="00A14A6C" w:rsidRPr="00E930F9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نباید حاوی نمک باشد .</w:t>
            </w:r>
          </w:p>
          <w:p w:rsidR="00A14A6C" w:rsidRPr="005478F7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 بیم گستر تابان در صورت لزوم مجاز به استفاده از پیمانکار فرعی برای خدمات آنالیزی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A14A6C" w:rsidRPr="008E1E62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A14A6C" w:rsidRPr="001F7920" w:rsidRDefault="00A14A6C" w:rsidP="00AA6A9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A14A6C" w:rsidRPr="00CC188E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color w:val="000000" w:themeColor="text1"/>
                <w:sz w:val="16"/>
                <w:szCs w:val="16"/>
                <w:lang w:bidi="fa-IR"/>
              </w:rPr>
            </w:pPr>
            <w:r>
              <w:rPr>
                <w:rFonts w:ascii="irsans" w:hAnsi="irsans" w:cs="B Koodak" w:hint="cs"/>
                <w:color w:val="000000" w:themeColor="text1"/>
                <w:sz w:val="16"/>
                <w:szCs w:val="16"/>
                <w:shd w:val="clear" w:color="auto" w:fill="FFFFFF"/>
                <w:rtl/>
              </w:rPr>
              <w:t>چنانچه برای آنالیز برنامه ای توسط متقاضی ارائه نگردد ، از برنامه های متداول آزمایشگاه استفاده می شود.درغیر این صورت امکان آنالیز مجدد نمونه وجود نخواهد داشت .</w:t>
            </w:r>
          </w:p>
          <w:p w:rsidR="00A14A6C" w:rsidRPr="00CC188E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188E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CC188E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A14A6C" w:rsidRPr="009A08BB" w:rsidRDefault="00A14A6C" w:rsidP="00A14A6C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نشده، سرویس یا تعمیر دستگاه به زمان جوابدهی افزوده می</w:t>
            </w:r>
            <w:r w:rsidRPr="00EE70D5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 w:rsidRPr="00EE70D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9A08BB" w:rsidRPr="009A08BB" w:rsidRDefault="00F312C7" w:rsidP="009A08BB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در صورتیکه تسویه حساب آنالیز انجام نشود، نگهداری نمونه های دریافتی حداکثر یک ماه می باشد و بعد از آن نمونه ها امحا خواهند شد </w:t>
            </w:r>
            <w:r w:rsidR="009A08BB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9A08BB" w:rsidRPr="009A08BB" w:rsidRDefault="009A08BB" w:rsidP="009A08BB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نمونه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ر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9A08BB" w:rsidRPr="00672DB8" w:rsidRDefault="009A08BB" w:rsidP="009A08BB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 w:hint="cs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 بعد از آن 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 هیچگونه  مسئولیتی در قبال نمونه ها ندارد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672DB8" w:rsidRPr="00EE70D5" w:rsidRDefault="00672DB8" w:rsidP="00672DB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حداکثر مسئولیت مالی آزمایشگاه در قبال نگهداری از نمونه های تحویل گرفته شده به میزان هزینه آنالیز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.</w:t>
            </w:r>
          </w:p>
        </w:tc>
      </w:tr>
      <w:tr w:rsidR="00A14A6C" w:rsidRPr="00965C9E" w:rsidTr="00672DB8">
        <w:trPr>
          <w:trHeight w:val="902"/>
          <w:jc w:val="center"/>
        </w:trPr>
        <w:tc>
          <w:tcPr>
            <w:tcW w:w="11036" w:type="dxa"/>
            <w:gridSpan w:val="3"/>
            <w:shd w:val="clear" w:color="auto" w:fill="FFFFFF" w:themeFill="background1"/>
            <w:vAlign w:val="center"/>
          </w:tcPr>
          <w:p w:rsidR="00A14A6C" w:rsidRPr="00805B50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A14A6C" w:rsidRPr="00EE70D5" w:rsidRDefault="00A14A6C" w:rsidP="00AA6A95">
            <w:pPr>
              <w:bidi/>
              <w:rPr>
                <w:rFonts w:asciiTheme="minorBidi" w:hAnsiTheme="minorBidi" w:cs="B Koodak"/>
                <w:sz w:val="14"/>
                <w:szCs w:val="14"/>
                <w:lang w:bidi="fa-IR"/>
              </w:rPr>
            </w:pPr>
          </w:p>
          <w:p w:rsidR="00A14A6C" w:rsidRPr="00EE70D5" w:rsidRDefault="00A14A6C" w:rsidP="00AA6A95">
            <w:pPr>
              <w:shd w:val="clear" w:color="auto" w:fill="FFFFFF" w:themeFill="background1"/>
              <w:bidi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A14A6C" w:rsidRPr="00965C9E" w:rsidRDefault="00A14A6C" w:rsidP="00AA6A95">
            <w:pPr>
              <w:pStyle w:val="ListParagraph"/>
              <w:bidi/>
              <w:ind w:left="252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1029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889"/>
      </w:tblGrid>
      <w:tr w:rsidR="00A14A6C" w:rsidTr="00AA6A95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14A6C" w:rsidRDefault="00A14A6C" w:rsidP="00AA6A95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14A6C" w:rsidRDefault="00A14A6C" w:rsidP="00AA6A95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14A6C" w:rsidTr="00AA6A95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14A6C" w:rsidRDefault="00A14A6C" w:rsidP="00AA6A95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14A6C" w:rsidRDefault="00A14A6C" w:rsidP="00AA6A95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14A6C" w:rsidTr="00AA6A95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14A6C" w:rsidTr="00AA6A95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A14A6C" w:rsidTr="00AA6A95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A6C" w:rsidRDefault="00A14A6C" w:rsidP="001D220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</w:t>
            </w:r>
            <w:r w:rsidR="001D220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آزمایشگاه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14A6C" w:rsidRDefault="00A14A6C" w:rsidP="00AA6A9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A14A6C" w:rsidTr="00AA6A95">
        <w:trPr>
          <w:trHeight w:val="7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A6C" w:rsidRDefault="00A14A6C" w:rsidP="00AA6A95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6C" w:rsidRDefault="00A14A6C" w:rsidP="00AA6A95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14A6C" w:rsidRDefault="00A14A6C" w:rsidP="00AA6A95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A14A6C" w:rsidRPr="00672DB8" w:rsidRDefault="00A14A6C" w:rsidP="00A14A6C">
      <w:pPr>
        <w:bidi/>
        <w:rPr>
          <w:sz w:val="14"/>
          <w:szCs w:val="14"/>
        </w:rPr>
      </w:pPr>
    </w:p>
    <w:p w:rsidR="00C55938" w:rsidRDefault="00672DB8">
      <w:bookmarkStart w:id="0" w:name="_GoBack"/>
      <w:bookmarkEnd w:id="0"/>
    </w:p>
    <w:sectPr w:rsidR="00C55938" w:rsidSect="00EE70D5">
      <w:headerReference w:type="default" r:id="rId8"/>
      <w:pgSz w:w="11907" w:h="16839" w:code="9"/>
      <w:pgMar w:top="510" w:right="1440" w:bottom="9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AE" w:rsidRDefault="00A95EAE">
      <w:pPr>
        <w:spacing w:after="0" w:line="240" w:lineRule="auto"/>
      </w:pPr>
      <w:r>
        <w:separator/>
      </w:r>
    </w:p>
  </w:endnote>
  <w:endnote w:type="continuationSeparator" w:id="0">
    <w:p w:rsidR="00A95EAE" w:rsidRDefault="00A9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sans">
    <w:altName w:val="Times New Roman"/>
    <w:panose1 w:val="00000000000000000000"/>
    <w:charset w:val="00"/>
    <w:family w:val="roman"/>
    <w:notTrueType/>
    <w:pitch w:val="default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AE" w:rsidRDefault="00A95EAE">
      <w:pPr>
        <w:spacing w:after="0" w:line="240" w:lineRule="auto"/>
      </w:pPr>
      <w:r>
        <w:separator/>
      </w:r>
    </w:p>
  </w:footnote>
  <w:footnote w:type="continuationSeparator" w:id="0">
    <w:p w:rsidR="00A95EAE" w:rsidRDefault="00A9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9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90"/>
      <w:gridCol w:w="2024"/>
      <w:gridCol w:w="1999"/>
      <w:gridCol w:w="3284"/>
    </w:tblGrid>
    <w:tr w:rsidR="001D220A" w:rsidRPr="001D220A" w:rsidTr="00FF2005">
      <w:trPr>
        <w:trHeight w:val="509"/>
        <w:jc w:val="center"/>
      </w:trPr>
      <w:tc>
        <w:tcPr>
          <w:tcW w:w="369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1D220A" w:rsidRDefault="00A14A6C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F5A0F07" wp14:editId="7CFF684B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1D220A" w:rsidRDefault="00A14A6C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1D220A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GC-MS</w:t>
          </w:r>
          <w:r w:rsidRPr="001D220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Pr="001D220A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Pr="001D220A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1D220A" w:rsidRDefault="00A14A6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1D220A" w:rsidRDefault="00A14A6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1D220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1D220A" w:rsidRDefault="00A14A6C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1D220A" w:rsidRPr="001D220A" w:rsidTr="00FF2005">
      <w:trPr>
        <w:trHeight w:val="358"/>
        <w:jc w:val="center"/>
      </w:trPr>
      <w:tc>
        <w:tcPr>
          <w:tcW w:w="3690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1D220A" w:rsidRDefault="00672DB8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1D220A" w:rsidRDefault="001D220A" w:rsidP="00B742FD">
          <w:pPr>
            <w:spacing w:after="0" w:line="240" w:lineRule="auto"/>
            <w:jc w:val="center"/>
            <w:rPr>
              <w:rFonts w:ascii="Utsaah" w:eastAsia="Times New Roman" w:hAnsi="Utsaah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TL-F83-00</w:t>
          </w:r>
          <w:r w:rsidRPr="001D220A">
            <w:rPr>
              <w:rFonts w:ascii="Utsaah" w:eastAsia="Times New Roman" w:hAnsi="Utsaah" w:cs="B Nazanin" w:hint="cs"/>
              <w:noProof/>
              <w:color w:val="000000" w:themeColor="text1"/>
              <w:sz w:val="18"/>
              <w:szCs w:val="18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1D220A" w:rsidRDefault="00A14A6C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72DB8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672DB8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1D220A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1D220A" w:rsidRDefault="00672DB8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1D220A" w:rsidRPr="001D220A" w:rsidTr="00FF2005">
      <w:trPr>
        <w:trHeight w:val="358"/>
        <w:jc w:val="center"/>
      </w:trPr>
      <w:tc>
        <w:tcPr>
          <w:tcW w:w="3690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1D220A" w:rsidRDefault="00A14A6C" w:rsidP="001D220A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1D220A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1D220A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1D220A" w:rsidRPr="001D220A" w:rsidTr="00FF2005">
      <w:trPr>
        <w:trHeight w:val="358"/>
        <w:jc w:val="center"/>
      </w:trPr>
      <w:tc>
        <w:tcPr>
          <w:tcW w:w="3690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1D220A" w:rsidRDefault="00A14A6C" w:rsidP="001D220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کدملی</w:t>
          </w:r>
          <w:r w:rsid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1D220A" w:rsidRDefault="00A14A6C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1D220A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1D220A" w:rsidRDefault="00A14A6C" w:rsidP="001D220A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D220A" w:rsidRPr="001D220A" w:rsidTr="00FF2005">
      <w:trPr>
        <w:trHeight w:val="358"/>
        <w:jc w:val="center"/>
      </w:trPr>
      <w:tc>
        <w:tcPr>
          <w:tcW w:w="10997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1D220A" w:rsidRDefault="00A14A6C" w:rsidP="001D220A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1D220A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1D220A" w:rsidRDefault="00672DB8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6C"/>
    <w:rsid w:val="001C396A"/>
    <w:rsid w:val="001D220A"/>
    <w:rsid w:val="00672DB8"/>
    <w:rsid w:val="008718ED"/>
    <w:rsid w:val="00906A9E"/>
    <w:rsid w:val="009A08BB"/>
    <w:rsid w:val="009C13CC"/>
    <w:rsid w:val="00A14A6C"/>
    <w:rsid w:val="00A95EAE"/>
    <w:rsid w:val="00F3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6C"/>
  </w:style>
  <w:style w:type="table" w:customStyle="1" w:styleId="TableGrid2">
    <w:name w:val="Table Grid2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4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4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A6C"/>
  </w:style>
  <w:style w:type="table" w:customStyle="1" w:styleId="TableGrid2">
    <w:name w:val="Table Grid2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14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D2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Pourrajab</dc:creator>
  <cp:lastModifiedBy>Parvaz</cp:lastModifiedBy>
  <cp:revision>5</cp:revision>
  <dcterms:created xsi:type="dcterms:W3CDTF">2020-09-12T11:51:00Z</dcterms:created>
  <dcterms:modified xsi:type="dcterms:W3CDTF">2022-02-06T08:24:00Z</dcterms:modified>
</cp:coreProperties>
</file>